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长春市人力资源和社会保障局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劳动纠纷预警工作方案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/>
          <w:b w:val="0"/>
          <w:bCs w:val="0"/>
          <w:color w:val="000000"/>
          <w:sz w:val="32"/>
          <w:szCs w:val="32"/>
          <w:shd w:val="clear" w:color="FFFFFF" w:fill="D9D9D9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《优化营商环境条例》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要求，结合我市人力资源和社会保障领域工作实际，为了进一步优化营商环境，为社会提供良好的行政管理、服务基础、提高劳动纠纷预警处置能力，避免发生因大规模劳动纠纷引起的社会负面影响，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  <w:t>一、工作原则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坚持市场化、法治化、国际化原则，以市场主体需求为导向，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畅通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各类市场主体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、劳动者权益保护渠道，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为各类市场主体投资兴业营造稳定、公平、透明、可预期的良好环境。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完善应对重大、突发劳动纠纷预警处置机制。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建立以市场为主导，以政府服务保障为基础，以提升行政效能为目标建立行政监管、执法、服务、调解多措并举的预警保障机制，全面提升人力资源和社会保障领域营商环境服务保障水平，强化劳动纠纷事项处理的时效性，提高处置劳动纠纷隐患的整体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  <w:t>三、组织保障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  <w:t>为了确保工作目标顺利完成，市人力资源和社会保障局成立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劳动纠纷预警工作领导小组，下设办公室。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组  长: 张咏刚     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吴  琼     一级调研员（市管）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成  员：刘新宇    政策研究室主任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马景恒    法规处处长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高  巍    人力资源市场处处长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9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赵  斌    劳动关系处处长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90" w:firstLineChars="6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姜义书    劳动人事争议调解仲裁处处长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99" w:firstLineChars="603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胡登峰    养老保险处处长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韩庆辉    工伤保险处处长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郑  超    信访工作处处长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张  峋    劳动保障监察支队支队长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岳龙泉    人事统计信息中心主任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9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郝艳伟    仲裁院院长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劳动纠纷预警工作领导小组办公室设在信访工作处，负责统计、分析、协调工作，各相关部门设立联络员负责沟通联络工作。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办公室主任：郑  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联  络  员：程洪兵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张  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史 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520" w:firstLineChars="8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杨  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520" w:firstLineChars="8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房  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520" w:firstLineChars="8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夏永涛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张敬直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赵国明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聂常明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赵大鹏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胡哲夫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预警工作范围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-20"/>
          <w:w w:val="9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spacing w:val="-20"/>
          <w:w w:val="99"/>
          <w:sz w:val="32"/>
          <w:szCs w:val="32"/>
          <w:lang w:val="en-US" w:eastAsia="zh-CN"/>
        </w:rPr>
        <w:t>因劳动合同定立、履行、解除或终止引发的劳动纠纷。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2.因工资拖欠引发的劳动纠纷。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3.因劳务派遣、人力资源服务行为引发的劳动纠纷。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4.因人力资源服务、劳务外包行为引发的劳动纠纷。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000000"/>
          <w:spacing w:val="-20"/>
          <w:w w:val="99"/>
          <w:sz w:val="32"/>
          <w:szCs w:val="32"/>
          <w:lang w:val="en-US" w:eastAsia="zh-CN"/>
        </w:rPr>
        <w:t>因工伤保险中工伤认定、工伤鉴定环节中引发的劳动纠纷。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6.在养老保险工作领域，因退休确认引发的劳动纠纷。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7.因劳动纠纷可能引发的重大舆情、社情隐患。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劳动纠纷预警分类、分级。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1.一级劳动纠纷红色预警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：发现以上工作范围中涉及50人以上、涉案金额在500万元以上或解除关系达到20人以上的，经领导小组评估可能造成重大影响、隐患的。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2.二级劳动纠纷黄色预警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：发生以上工作范围中涉及20人以上50人以下、涉案金额在200万元以上500万元以下或解除关系达到10人以上20人以下的纠纷，经小组评估可能造成重大影响、隐患的。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3.三级劳动纠蓝色预警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：发生以上工作范围中涉及20人以下10人以上，或者涉案金额不足200万元的纠纷可能造成重大影响、隐患的，以及极端个体事件可能造成不良社会影响情形的。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（三）劳动纠纷预警分级处理程序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一级劳动纠纷红色预警处理程序。各成员单位发现构成一级劳动纠纷红色预警情况时，要第一时间上报劳动纠纷预警工作领导小组，领导小组接到上报信息后立即召开小组会，对于隐患事项进行分析、研判查明情况，明确预警处置单位，形成处置预案，报局长审定。需向市政府专报的，应将事前预警情况、事中处置预案、事后处置结果向市政府进行书面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二级劳动纠纷黄色预警处理程序。各成员单位发现构成二级劳动纠纷黄色预警情况时，要及时上报劳动纠纷预警工作领导小组办公室，由小组办公室上报领导小组组长，由小组组长视情况召集相关成员单位讨论处置预案，明确预警处置单位，按照工作程序及时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三级劳动纠纷蓝色预警处理程序。各成员单位发现构成三级劳动纠纷蓝色预警情况时，要及时向领导小组办公室上报，领导小组办公室视情况研究处置预案，明确预警处置单位，按照工作程序及时处理，处置过程中根据事态发展趋势，确定是否向领导小组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4.其它未达到预警等级的事项，经过预判可能进一步扩大影响造成重大隐患的事项，需报劳动纠纷预警工作领导小组，由领导小组视情况启动相应等级预警程序。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（四）预警信息的收集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1.在日常工作过程中发现、收集到的重大隐患信息。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2.专项活动中排查收集到的重大隐患信息。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3.各上级单位及政府部门交办、反馈的重要信息。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4.通过媒体、网络获取的重要信息。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5.通过社情、民意、舆情获取的重要信息。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6.通过投诉、举报、市长公开电话、劳动保障服务热线等渠道获取的重要信息。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7.其它能够获取劳动纠纷隐患信息的渠道。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各成员单位要重视预警信息收集工作，对于有可能形成隐患的事项进行认真梳理，加强舆情、社情监控，遇有可能形成劳动纠纷隐患的事项及时上报领导小组，抓早、抓小，防患于未燃。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长效机制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（一）建立议事流程、形成会议制度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各成员单位要认真研究，创新工作方式、方法，对于本单位工作范围内的各类业务事项存在的预警信息要作好预判，对于工作过程中遇到的重点、难点问题要加强沟通协调，群策群立，对于疑难案件隐患可请示上级部门或咨询相关领域专家，力求完善处置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劳动纠纷预警工作领导小组原则上每季度召开一次预警分析会，遇有特殊情况或发生重大、突发情况时随时召开，由小组办公室负责召集，各成员单位参加，重大、疑难事项可请示上级部门或引入专家团队共同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（二）统计分析、发布简报。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各成员单位联络员要按季度统计、汇总劳动纠纷隐患预警事项，上报领导小组办公室，根据情况按每季度为阶段及时排查、汇总、发布信息。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（三）认真贯彻落实、不断完善制度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劳动纠纷预警工作是一项重要的长期性工作，自本方案发布后，各成员单位在执行过程中要及时反馈方案中存在的问题，不断改进排查措施，不断提高排查效果，不断增强处理劳动纠纷预警工作能力。完善制度建设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为各类市场主体投资兴业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及维护劳动者合法权益营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造稳定、公平、透明、可预期的良好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政务保障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环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eastAsia="zh-CN"/>
        </w:rPr>
        <w:t>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9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15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15"/>
          <w:sz w:val="32"/>
          <w:szCs w:val="32"/>
          <w:lang w:val="en-US" w:eastAsia="zh-CN"/>
        </w:rPr>
        <w:t>（一）提高认识、落实责任。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  <w:t>各成员单位站在塑造党和政府良好形象、营造良好营商环境的大局，为市场主体和劳动者创建和谐社会氛围。坚决落实本方案工作内容，各级各类人员做好本职工作，确保工作落实到位、措施保障到位、处理问题实效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15"/>
          <w:sz w:val="32"/>
          <w:szCs w:val="32"/>
          <w:lang w:val="en-US" w:eastAsia="zh-CN"/>
        </w:rPr>
        <w:t>（二）加强监督、有责必纠。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6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  <w:t>各成员单位在开展工作过程中，发生工作过失造成重大影响的，因主观原因未对重大隐患进行及时预警的，局机关纪委视情况进行处理。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0" w:firstLineChars="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15"/>
          <w:sz w:val="32"/>
          <w:szCs w:val="32"/>
          <w:lang w:val="en-US" w:eastAsia="zh-CN"/>
        </w:rPr>
        <w:t>加强协调、互相配合。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9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  <w:lang w:val="en-US" w:eastAsia="zh-CN"/>
        </w:rPr>
        <w:t>各成员单位应共同推进劳动纠纷预警工作，要主动作为、互相补位，有业务交叉的要应管尽管，杜绝互相推诿、消极不作为现象。</w:t>
      </w:r>
    </w:p>
    <w:p>
      <w:pPr>
        <w:rPr>
          <w:color w:val="000000"/>
        </w:rPr>
      </w:pPr>
    </w:p>
    <w:p>
      <w:pPr>
        <w:bidi w:val="0"/>
        <w:rPr>
          <w:rFonts w:ascii="Calibri" w:hAnsi="Calibri" w:eastAsia="宋体" w:cs="Times New Roman"/>
          <w:color w:val="0000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color w:val="000000"/>
          <w:lang w:val="en-US" w:eastAsia="zh-CN"/>
        </w:rPr>
      </w:pPr>
    </w:p>
    <w:p>
      <w:pPr>
        <w:bidi w:val="0"/>
        <w:rPr>
          <w:color w:val="000000"/>
          <w:lang w:val="en-US" w:eastAsia="zh-CN"/>
        </w:rPr>
      </w:pPr>
    </w:p>
    <w:p>
      <w:pPr>
        <w:bidi w:val="0"/>
        <w:rPr>
          <w:color w:val="000000"/>
          <w:lang w:val="en-US" w:eastAsia="zh-CN"/>
        </w:rPr>
      </w:pPr>
    </w:p>
    <w:p>
      <w:pPr>
        <w:bidi w:val="0"/>
        <w:rPr>
          <w:color w:val="000000"/>
          <w:lang w:val="en-US" w:eastAsia="zh-CN"/>
        </w:rPr>
      </w:pPr>
    </w:p>
    <w:p>
      <w:pPr>
        <w:ind w:firstLine="2259" w:firstLineChars="1102"/>
        <w:jc w:val="righ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长春市人力资源和社会保障局</w:t>
      </w:r>
    </w:p>
    <w:p>
      <w:pPr>
        <w:ind w:firstLine="3471" w:firstLineChars="1102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2020年7月28日 </w:t>
      </w:r>
    </w:p>
    <w:p>
      <w:pPr>
        <w:adjustRightInd w:val="0"/>
        <w:snapToGrid w:val="0"/>
        <w:spacing w:line="576" w:lineRule="exact"/>
        <w:ind w:right="628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155" w:right="1474" w:bottom="1985" w:left="1588" w:header="851" w:footer="1588" w:gutter="0"/>
      <w:pgNumType w:fmt="numberInDash" w:start="1"/>
      <w:cols w:space="720" w:num="1"/>
      <w:docGrid w:type="linesAndChars" w:linePitch="311" w:charSpace="-1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5446395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8.85pt;margin-top: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aZLnnVAAAA&#10;Cg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2C31A"/>
    <w:multiLevelType w:val="singleLevel"/>
    <w:tmpl w:val="84D2C31A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9C5DDABF"/>
    <w:multiLevelType w:val="singleLevel"/>
    <w:tmpl w:val="9C5DDAB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2020-09-10T07:08:54Z</dcterms:created>
  <dc:creator>Administrator</dc:creator>
  <cp:lastModifiedBy>Administrator</cp:lastModifiedBy>
  <dcterms:modified xsi:type="dcterms:W3CDTF">2020-09-10T07:09:17Z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