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长春市国家机关普法责任清单</w:t>
      </w:r>
    </w:p>
    <w:p>
      <w:pPr>
        <w:spacing w:line="579" w:lineRule="exact"/>
        <w:ind w:firstLine="120" w:firstLineChars="50"/>
        <w:rPr>
          <w:rFonts w:ascii="仿宋_GB2312" w:hAnsi="仿宋_GB2312" w:eastAsia="仿宋_GB2312" w:cs="仿宋_GB2312"/>
          <w:b/>
          <w:sz w:val="24"/>
          <w:szCs w:val="24"/>
        </w:rPr>
      </w:pPr>
      <w:bookmarkStart w:id="0" w:name="_GoBack"/>
      <w:bookmarkEnd w:id="0"/>
      <w:r>
        <w:rPr>
          <w:rFonts w:hint="eastAsia" w:ascii="仿宋_GB2312" w:hAnsi="仿宋_GB2312" w:eastAsia="仿宋_GB2312" w:cs="仿宋_GB2312"/>
          <w:b/>
          <w:sz w:val="24"/>
          <w:szCs w:val="24"/>
        </w:rPr>
        <w:t>部门：长春市</w:t>
      </w:r>
      <w:r>
        <w:rPr>
          <w:rFonts w:hint="eastAsia" w:ascii="仿宋_GB2312" w:hAnsi="仿宋_GB2312" w:eastAsia="仿宋_GB2312" w:cs="仿宋_GB2312"/>
          <w:b/>
          <w:sz w:val="24"/>
          <w:szCs w:val="24"/>
          <w:lang w:eastAsia="zh-CN"/>
        </w:rPr>
        <w:t>人力资源和社会保障</w:t>
      </w:r>
      <w:r>
        <w:rPr>
          <w:rFonts w:hint="eastAsia" w:ascii="仿宋_GB2312" w:hAnsi="仿宋_GB2312" w:eastAsia="仿宋_GB2312" w:cs="仿宋_GB2312"/>
          <w:b/>
          <w:sz w:val="24"/>
          <w:szCs w:val="24"/>
        </w:rPr>
        <w:t>局</w:t>
      </w:r>
    </w:p>
    <w:tbl>
      <w:tblPr>
        <w:tblStyle w:val="7"/>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19"/>
        <w:gridCol w:w="5223"/>
        <w:gridCol w:w="2445"/>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2" w:type="dxa"/>
          </w:tcPr>
          <w:p>
            <w:pPr>
              <w:spacing w:line="300" w:lineRule="exact"/>
              <w:ind w:left="9"/>
              <w:rPr>
                <w:rFonts w:ascii="宋体" w:hAnsi="宋体" w:eastAsia="宋体" w:cs="宋体"/>
                <w:sz w:val="24"/>
                <w:szCs w:val="24"/>
              </w:rPr>
            </w:pPr>
          </w:p>
        </w:tc>
        <w:tc>
          <w:tcPr>
            <w:tcW w:w="3119" w:type="dxa"/>
            <w:vAlign w:val="center"/>
          </w:tcPr>
          <w:p>
            <w:pPr>
              <w:spacing w:line="300" w:lineRule="exact"/>
              <w:jc w:val="center"/>
              <w:rPr>
                <w:rFonts w:ascii="宋体" w:hAnsi="宋体" w:eastAsia="宋体" w:cs="宋体"/>
                <w:b/>
                <w:sz w:val="24"/>
                <w:szCs w:val="24"/>
              </w:rPr>
            </w:pPr>
            <w:r>
              <w:rPr>
                <w:rFonts w:hint="eastAsia" w:ascii="宋体" w:hAnsi="宋体" w:eastAsia="宋体" w:cs="宋体"/>
                <w:b/>
                <w:sz w:val="24"/>
                <w:szCs w:val="24"/>
              </w:rPr>
              <w:t>重点普法任务</w:t>
            </w:r>
          </w:p>
        </w:tc>
        <w:tc>
          <w:tcPr>
            <w:tcW w:w="5223" w:type="dxa"/>
            <w:vAlign w:val="center"/>
          </w:tcPr>
          <w:p>
            <w:pPr>
              <w:spacing w:line="300" w:lineRule="exact"/>
              <w:jc w:val="center"/>
              <w:rPr>
                <w:rFonts w:ascii="宋体" w:hAnsi="宋体" w:eastAsia="宋体" w:cs="宋体"/>
                <w:b/>
                <w:sz w:val="24"/>
                <w:szCs w:val="24"/>
              </w:rPr>
            </w:pPr>
            <w:r>
              <w:rPr>
                <w:rFonts w:hint="eastAsia" w:ascii="宋体" w:hAnsi="宋体" w:eastAsia="宋体" w:cs="宋体"/>
                <w:b/>
                <w:sz w:val="24"/>
                <w:szCs w:val="24"/>
              </w:rPr>
              <w:t>重点普法内容</w:t>
            </w:r>
          </w:p>
        </w:tc>
        <w:tc>
          <w:tcPr>
            <w:tcW w:w="2445" w:type="dxa"/>
            <w:vAlign w:val="center"/>
          </w:tcPr>
          <w:p>
            <w:pPr>
              <w:spacing w:line="300" w:lineRule="exact"/>
              <w:jc w:val="center"/>
              <w:rPr>
                <w:rFonts w:ascii="宋体" w:hAnsi="宋体" w:eastAsia="宋体" w:cs="宋体"/>
                <w:b/>
                <w:sz w:val="24"/>
                <w:szCs w:val="24"/>
              </w:rPr>
            </w:pPr>
            <w:r>
              <w:rPr>
                <w:rFonts w:hint="eastAsia" w:ascii="宋体" w:hAnsi="宋体" w:eastAsia="宋体" w:cs="宋体"/>
                <w:b/>
                <w:sz w:val="24"/>
                <w:szCs w:val="24"/>
              </w:rPr>
              <w:t>重点普法对象</w:t>
            </w:r>
          </w:p>
        </w:tc>
        <w:tc>
          <w:tcPr>
            <w:tcW w:w="4522" w:type="dxa"/>
            <w:vAlign w:val="center"/>
          </w:tcPr>
          <w:p>
            <w:pPr>
              <w:spacing w:line="300" w:lineRule="exact"/>
              <w:jc w:val="center"/>
              <w:rPr>
                <w:rFonts w:ascii="宋体" w:hAnsi="宋体" w:eastAsia="宋体" w:cs="宋体"/>
                <w:b/>
                <w:sz w:val="24"/>
                <w:szCs w:val="24"/>
              </w:rPr>
            </w:pPr>
            <w:r>
              <w:rPr>
                <w:rFonts w:hint="eastAsia" w:ascii="宋体" w:hAnsi="宋体" w:eastAsia="宋体" w:cs="宋体"/>
                <w:b/>
                <w:sz w:val="24"/>
                <w:szCs w:val="24"/>
              </w:rPr>
              <w:t>主要普法形式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2" w:type="dxa"/>
            <w:vMerge w:val="restart"/>
            <w:vAlign w:val="center"/>
          </w:tcPr>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共</w:t>
            </w:r>
          </w:p>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性</w:t>
            </w:r>
          </w:p>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责</w:t>
            </w:r>
          </w:p>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任</w:t>
            </w:r>
          </w:p>
        </w:tc>
        <w:tc>
          <w:tcPr>
            <w:tcW w:w="3119"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深入学习宣传贯彻习近平法治思想；</w:t>
            </w:r>
          </w:p>
        </w:tc>
        <w:tc>
          <w:tcPr>
            <w:tcW w:w="5223" w:type="dxa"/>
            <w:vAlign w:val="center"/>
          </w:tcPr>
          <w:p>
            <w:pPr>
              <w:spacing w:line="300" w:lineRule="exact"/>
              <w:ind w:left="9"/>
              <w:rPr>
                <w:rFonts w:ascii="仿宋_GB2312" w:hAnsi="仿宋_GB2312" w:eastAsia="仿宋_GB2312" w:cs="仿宋_GB2312"/>
                <w:sz w:val="24"/>
                <w:szCs w:val="24"/>
              </w:rPr>
            </w:pPr>
            <w:r>
              <w:rPr>
                <w:rFonts w:hint="eastAsia" w:ascii="仿宋_GB2312" w:hAnsi="仿宋_GB2312" w:eastAsia="仿宋_GB2312" w:cs="仿宋_GB2312"/>
                <w:sz w:val="24"/>
                <w:szCs w:val="24"/>
              </w:rPr>
              <w:t>习近平总书记在中央全面依法治国工作会议上精辟概括的“十一个坚持”</w:t>
            </w:r>
          </w:p>
          <w:p>
            <w:pPr>
              <w:spacing w:line="300" w:lineRule="exact"/>
              <w:ind w:left="9"/>
              <w:rPr>
                <w:rFonts w:ascii="仿宋_GB2312" w:hAnsi="仿宋_GB2312" w:eastAsia="仿宋_GB2312" w:cs="仿宋_GB2312"/>
                <w:sz w:val="24"/>
                <w:szCs w:val="24"/>
              </w:rPr>
            </w:pPr>
            <w:r>
              <w:rPr>
                <w:rFonts w:hint="eastAsia" w:ascii="仿宋_GB2312" w:hAnsi="仿宋_GB2312" w:eastAsia="仿宋_GB2312" w:cs="仿宋_GB2312"/>
                <w:sz w:val="24"/>
                <w:szCs w:val="24"/>
              </w:rPr>
              <w:t>习近平总书记关于推进全面依法治国的系列重要论述</w:t>
            </w:r>
          </w:p>
        </w:tc>
        <w:tc>
          <w:tcPr>
            <w:tcW w:w="2445"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广大市民群众</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本单位国家工作人员</w:t>
            </w:r>
          </w:p>
        </w:tc>
        <w:tc>
          <w:tcPr>
            <w:tcW w:w="4522"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开展习近平法治思想宣讲、专题培训等载体活动；</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组织党委（组）理论学习中心组学习；</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依托党校（行政学院）干部教育培训；</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组织党支部集体学习；</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开展党员活动日实践学习；</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组织党员干部自学等。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62" w:type="dxa"/>
            <w:vMerge w:val="continue"/>
            <w:vAlign w:val="center"/>
          </w:tcPr>
          <w:p>
            <w:pPr>
              <w:spacing w:line="300" w:lineRule="exact"/>
              <w:ind w:left="9"/>
              <w:jc w:val="center"/>
              <w:rPr>
                <w:rFonts w:ascii="宋体" w:hAnsi="宋体" w:eastAsia="宋体" w:cs="宋体"/>
                <w:b/>
                <w:sz w:val="24"/>
                <w:szCs w:val="24"/>
              </w:rPr>
            </w:pPr>
          </w:p>
        </w:tc>
        <w:tc>
          <w:tcPr>
            <w:tcW w:w="3119"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在全社会深入持久开展宪法宣传教育活动；</w:t>
            </w:r>
          </w:p>
        </w:tc>
        <w:tc>
          <w:tcPr>
            <w:tcW w:w="5223"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《中华人民共和国宪法》</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国旗法、国歌法等宪法相关法</w:t>
            </w:r>
          </w:p>
        </w:tc>
        <w:tc>
          <w:tcPr>
            <w:tcW w:w="2445"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广大市民群众</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本单位国家工作人员</w:t>
            </w:r>
          </w:p>
        </w:tc>
        <w:tc>
          <w:tcPr>
            <w:tcW w:w="4522"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落实宪法宣誓制度；</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开展“12.4”国家宪法日、“宪法宣传周”集中宣传活动；</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62" w:type="dxa"/>
            <w:vMerge w:val="continue"/>
            <w:vAlign w:val="center"/>
          </w:tcPr>
          <w:p>
            <w:pPr>
              <w:spacing w:line="300" w:lineRule="exact"/>
              <w:ind w:left="9"/>
              <w:jc w:val="center"/>
              <w:rPr>
                <w:rFonts w:ascii="宋体" w:hAnsi="宋体" w:eastAsia="宋体" w:cs="宋体"/>
                <w:b/>
                <w:sz w:val="24"/>
                <w:szCs w:val="24"/>
              </w:rPr>
            </w:pPr>
          </w:p>
        </w:tc>
        <w:tc>
          <w:tcPr>
            <w:tcW w:w="3119"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广泛开展民法典普法工作；</w:t>
            </w:r>
          </w:p>
        </w:tc>
        <w:tc>
          <w:tcPr>
            <w:tcW w:w="5223"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《中华人民共和国民法典》</w:t>
            </w:r>
          </w:p>
        </w:tc>
        <w:tc>
          <w:tcPr>
            <w:tcW w:w="2445"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广大市民群众</w:t>
            </w:r>
          </w:p>
        </w:tc>
        <w:tc>
          <w:tcPr>
            <w:tcW w:w="4522"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开展民法典宣传月主题活动；</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62" w:type="dxa"/>
            <w:vMerge w:val="continue"/>
            <w:vAlign w:val="center"/>
          </w:tcPr>
          <w:p>
            <w:pPr>
              <w:spacing w:line="300" w:lineRule="exact"/>
              <w:ind w:left="9"/>
              <w:jc w:val="center"/>
              <w:rPr>
                <w:rFonts w:ascii="宋体" w:hAnsi="宋体" w:eastAsia="宋体" w:cs="宋体"/>
                <w:b/>
                <w:sz w:val="24"/>
                <w:szCs w:val="24"/>
              </w:rPr>
            </w:pPr>
          </w:p>
        </w:tc>
        <w:tc>
          <w:tcPr>
            <w:tcW w:w="3119"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深入学习宣传党内法规。</w:t>
            </w:r>
          </w:p>
        </w:tc>
        <w:tc>
          <w:tcPr>
            <w:tcW w:w="5223"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习近平总书记关于全面从严治党的重要论述</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《中国共产党党章》</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《关于新形势下下党内政治生活的若干准则》</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《中国共产党廉洁自律准则》</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《中国共产党纪律处分条例》</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《中国共产党问责条例》</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《中国共产党党内监督条例》</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《中国共产党巡视工作条例》</w:t>
            </w:r>
          </w:p>
        </w:tc>
        <w:tc>
          <w:tcPr>
            <w:tcW w:w="2445"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本单位党员干部</w:t>
            </w:r>
          </w:p>
        </w:tc>
        <w:tc>
          <w:tcPr>
            <w:tcW w:w="4522"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党委（组）理论学习中心组学习；</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党校（行政学院）干部教育培训</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党支部集体学习；</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党支部自学；</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利用传统媒体和新媒体普法；</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组织普法教育培训活动；</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结合日常党建工作进行普法；</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开展节日普法活动。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jc w:val="center"/>
        </w:trPr>
        <w:tc>
          <w:tcPr>
            <w:tcW w:w="562" w:type="dxa"/>
            <w:vMerge w:val="restart"/>
            <w:vAlign w:val="center"/>
          </w:tcPr>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个</w:t>
            </w:r>
          </w:p>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性</w:t>
            </w:r>
          </w:p>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责</w:t>
            </w:r>
          </w:p>
          <w:p>
            <w:pPr>
              <w:spacing w:line="300" w:lineRule="exact"/>
              <w:ind w:left="9"/>
              <w:jc w:val="center"/>
              <w:rPr>
                <w:rFonts w:ascii="宋体" w:hAnsi="宋体" w:eastAsia="宋体" w:cs="宋体"/>
                <w:b/>
                <w:sz w:val="24"/>
                <w:szCs w:val="24"/>
              </w:rPr>
            </w:pPr>
            <w:r>
              <w:rPr>
                <w:rFonts w:hint="eastAsia" w:ascii="宋体" w:hAnsi="宋体" w:eastAsia="宋体" w:cs="宋体"/>
                <w:b/>
                <w:sz w:val="24"/>
                <w:szCs w:val="24"/>
              </w:rPr>
              <w:t>任</w:t>
            </w:r>
          </w:p>
        </w:tc>
        <w:tc>
          <w:tcPr>
            <w:tcW w:w="311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推进本部门（系统）国家工作人员学法用法；</w:t>
            </w:r>
          </w:p>
        </w:tc>
        <w:tc>
          <w:tcPr>
            <w:tcW w:w="5223"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w:t>
            </w:r>
            <w:r>
              <w:rPr>
                <w:rFonts w:hint="eastAsia" w:ascii="仿宋_GB2312" w:hAnsi="仿宋_GB2312" w:eastAsia="仿宋_GB2312" w:cs="仿宋_GB2312"/>
                <w:sz w:val="24"/>
                <w:szCs w:val="24"/>
                <w:lang w:eastAsia="zh-CN"/>
              </w:rPr>
              <w:t>行政许可</w:t>
            </w:r>
            <w:r>
              <w:rPr>
                <w:rFonts w:hint="eastAsia" w:ascii="仿宋_GB2312" w:hAnsi="仿宋_GB2312" w:eastAsia="仿宋_GB2312" w:cs="仿宋_GB2312"/>
                <w:sz w:val="24"/>
                <w:szCs w:val="24"/>
              </w:rPr>
              <w:t>法》</w:t>
            </w:r>
          </w:p>
          <w:p>
            <w:pPr>
              <w:spacing w:line="300" w:lineRule="exact"/>
              <w:ind w:left="9"/>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w:t>
            </w:r>
            <w:r>
              <w:rPr>
                <w:rFonts w:hint="eastAsia" w:ascii="仿宋_GB2312" w:hAnsi="仿宋_GB2312" w:eastAsia="仿宋_GB2312" w:cs="仿宋_GB2312"/>
                <w:sz w:val="24"/>
                <w:szCs w:val="24"/>
                <w:lang w:eastAsia="zh-CN"/>
              </w:rPr>
              <w:t>行政处罚</w:t>
            </w:r>
            <w:r>
              <w:rPr>
                <w:rFonts w:hint="eastAsia" w:ascii="仿宋_GB2312" w:hAnsi="仿宋_GB2312" w:eastAsia="仿宋_GB2312" w:cs="仿宋_GB2312"/>
                <w:sz w:val="24"/>
                <w:szCs w:val="24"/>
              </w:rPr>
              <w:t>法》</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中华人民共和国</w:t>
            </w:r>
            <w:r>
              <w:rPr>
                <w:rFonts w:hint="eastAsia" w:ascii="仿宋_GB2312" w:hAnsi="仿宋_GB2312" w:eastAsia="仿宋_GB2312" w:cs="仿宋_GB2312"/>
                <w:sz w:val="24"/>
                <w:szCs w:val="24"/>
                <w:lang w:eastAsia="zh-CN"/>
              </w:rPr>
              <w:t>行政强制</w:t>
            </w:r>
            <w:r>
              <w:rPr>
                <w:rFonts w:hint="eastAsia" w:ascii="仿宋_GB2312" w:hAnsi="仿宋_GB2312" w:eastAsia="仿宋_GB2312" w:cs="仿宋_GB2312"/>
                <w:sz w:val="24"/>
                <w:szCs w:val="24"/>
              </w:rPr>
              <w:t>法</w:t>
            </w:r>
            <w:r>
              <w:rPr>
                <w:rFonts w:hint="eastAsia" w:ascii="仿宋_GB2312" w:hAnsi="仿宋_GB2312" w:eastAsia="仿宋_GB2312" w:cs="仿宋_GB2312"/>
                <w:sz w:val="24"/>
                <w:szCs w:val="24"/>
                <w:lang w:eastAsia="zh-CN"/>
              </w:rPr>
              <w:t>》</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w:t>
            </w:r>
            <w:r>
              <w:rPr>
                <w:rFonts w:hint="eastAsia" w:ascii="仿宋_GB2312" w:hAnsi="仿宋_GB2312" w:eastAsia="仿宋_GB2312" w:cs="仿宋_GB2312"/>
                <w:sz w:val="24"/>
                <w:szCs w:val="24"/>
                <w:lang w:eastAsia="zh-CN"/>
              </w:rPr>
              <w:t>行政复议</w:t>
            </w:r>
            <w:r>
              <w:rPr>
                <w:rFonts w:hint="eastAsia" w:ascii="仿宋_GB2312" w:hAnsi="仿宋_GB2312" w:eastAsia="仿宋_GB2312" w:cs="仿宋_GB2312"/>
                <w:sz w:val="24"/>
                <w:szCs w:val="24"/>
              </w:rPr>
              <w:t>法》</w:t>
            </w:r>
          </w:p>
          <w:p>
            <w:pPr>
              <w:spacing w:line="300" w:lineRule="exact"/>
              <w:ind w:left="9"/>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w:t>
            </w:r>
            <w:r>
              <w:rPr>
                <w:rFonts w:hint="eastAsia" w:ascii="仿宋_GB2312" w:hAnsi="仿宋_GB2312" w:eastAsia="仿宋_GB2312" w:cs="仿宋_GB2312"/>
                <w:sz w:val="24"/>
                <w:szCs w:val="24"/>
                <w:lang w:eastAsia="zh-CN"/>
              </w:rPr>
              <w:t>行政诉讼</w:t>
            </w:r>
            <w:r>
              <w:rPr>
                <w:rFonts w:hint="eastAsia" w:ascii="仿宋_GB2312" w:hAnsi="仿宋_GB2312" w:eastAsia="仿宋_GB2312" w:cs="仿宋_GB2312"/>
                <w:sz w:val="24"/>
                <w:szCs w:val="24"/>
              </w:rPr>
              <w:t>法》</w:t>
            </w:r>
          </w:p>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中华人民共和国劳动法</w:t>
            </w:r>
            <w:r>
              <w:rPr>
                <w:rFonts w:hint="eastAsia" w:ascii="仿宋_GB2312" w:hAnsi="仿宋_GB2312" w:eastAsia="仿宋_GB2312" w:cs="仿宋_GB2312"/>
                <w:sz w:val="24"/>
                <w:szCs w:val="24"/>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中华人民共和国劳动合同法</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中华人民共和国就业促进法</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中华人民共和国劳动争议调解仲裁法</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《中华人民共和国民办教育促进法》</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保障农民工工资支付条例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人力资源市场暂行条例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全国社会保障基金条例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事业单位人事管理条例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《女职工劳动保护特别规定》</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工伤保险条例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《中华人民共和国劳动合同法实施条例》</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职工带薪年休假条例</w:t>
            </w:r>
            <w:r>
              <w:rPr>
                <w:rFonts w:hint="eastAsia" w:ascii="仿宋_GB2312" w:hAnsi="仿宋_GB2312" w:eastAsia="仿宋_GB2312" w:cs="仿宋_GB2312"/>
                <w:sz w:val="24"/>
                <w:szCs w:val="24"/>
                <w:lang w:eastAsia="zh-CN"/>
              </w:rPr>
              <w:t>》</w:t>
            </w:r>
          </w:p>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劳动保障监察</w:t>
            </w:r>
            <w:r>
              <w:rPr>
                <w:rFonts w:hint="eastAsia" w:ascii="仿宋_GB2312" w:hAnsi="仿宋_GB2312" w:eastAsia="仿宋_GB2312" w:cs="仿宋_GB2312"/>
                <w:sz w:val="24"/>
                <w:szCs w:val="24"/>
              </w:rPr>
              <w:t>条例》</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残疾人就业条例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禁止使用童工规定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br w:type="textWrapping"/>
            </w:r>
            <w:r>
              <w:rPr>
                <w:rFonts w:hint="eastAsia" w:ascii="仿宋_GB2312" w:hAnsi="仿宋_GB2312" w:eastAsia="仿宋_GB2312" w:cs="仿宋_GB2312"/>
                <w:sz w:val="24"/>
                <w:szCs w:val="24"/>
                <w:lang w:val="en-US" w:eastAsia="zh-CN"/>
              </w:rPr>
              <w:t>《中华人民共和国民办教育促进法实施条例》</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《社会保险基金行政监督办法》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《人才市场管理规定》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《职称评审管理暂行规定》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《工伤保险辅助器具配置管理办法》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《就业服务与就业管理规定》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《企业年金办法》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《事业单位公开招聘违纪违规行为处理规定》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《劳动人事争议仲裁组织规则》</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《劳动人事争议仲裁办案规则》</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《劳务派遣暂行规定》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《劳务派遣行政许可实施办法》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《事业单位工作人员处分暂行规定》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《企业劳动争议协商调解规定》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《非法用工单位伤亡人员一次性赔偿办法》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《工伤认定办法》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《企业职工带薪年休假实施办法》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《机关事业单位工作人员带薪年休假实施办法》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《事业单位公开招聘人员暂行规定》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《关于实施《劳动保障监察条例》若干规定》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《集体合同规定》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《最低工资规定》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《工资集体协商试行办法》</w:t>
            </w:r>
          </w:p>
          <w:p>
            <w:pPr>
              <w:spacing w:line="300" w:lineRule="exact"/>
              <w:jc w:val="left"/>
              <w:rPr>
                <w:rFonts w:ascii="仿宋_GB2312" w:hAnsi="仿宋_GB2312" w:eastAsia="仿宋_GB2312" w:cs="仿宋_GB2312"/>
                <w:sz w:val="24"/>
                <w:szCs w:val="24"/>
              </w:rPr>
            </w:pPr>
          </w:p>
        </w:tc>
        <w:tc>
          <w:tcPr>
            <w:tcW w:w="2445"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本单位工作人员</w:t>
            </w:r>
          </w:p>
        </w:tc>
        <w:tc>
          <w:tcPr>
            <w:tcW w:w="4522"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组织开展相关法律法规专题培训；</w:t>
            </w:r>
          </w:p>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组织开展旁听庭审活动。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jc w:val="center"/>
        </w:trPr>
        <w:tc>
          <w:tcPr>
            <w:tcW w:w="562" w:type="dxa"/>
            <w:vMerge w:val="continue"/>
            <w:vAlign w:val="center"/>
          </w:tcPr>
          <w:p>
            <w:pPr>
              <w:spacing w:line="300" w:lineRule="exact"/>
              <w:ind w:left="9"/>
              <w:jc w:val="center"/>
              <w:rPr>
                <w:rFonts w:ascii="仿宋" w:hAnsi="仿宋" w:eastAsia="仿宋" w:cs="仿宋_GB2312"/>
                <w:b/>
                <w:sz w:val="24"/>
                <w:szCs w:val="24"/>
              </w:rPr>
            </w:pPr>
          </w:p>
        </w:tc>
        <w:tc>
          <w:tcPr>
            <w:tcW w:w="311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向社会公众深入宣传与推动高质量发展及社会治理现代化密切相关的法律法规。</w:t>
            </w:r>
          </w:p>
        </w:tc>
        <w:tc>
          <w:tcPr>
            <w:tcW w:w="5223"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中华人民共和国劳动法</w:t>
            </w:r>
            <w:r>
              <w:rPr>
                <w:rFonts w:hint="eastAsia" w:ascii="仿宋_GB2312" w:hAnsi="仿宋_GB2312" w:eastAsia="仿宋_GB2312" w:cs="仿宋_GB2312"/>
                <w:sz w:val="24"/>
                <w:szCs w:val="24"/>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中华人民共和国劳动合同法</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中华人民共和国就业促进法</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中华人民共和国劳动争议调解仲裁法</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《中华人民共和国民办教育促进法》</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保障农民工工资支付条例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人力资源市场暂行条例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全国社会保障基金条例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事业单位人事管理条例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《女职工劳动保护特别规定》</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工伤保险条例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《中华人民共和国劳动合同法实施条例》</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职工带薪年休假条例</w:t>
            </w:r>
            <w:r>
              <w:rPr>
                <w:rFonts w:hint="eastAsia" w:ascii="仿宋_GB2312" w:hAnsi="仿宋_GB2312" w:eastAsia="仿宋_GB2312" w:cs="仿宋_GB2312"/>
                <w:sz w:val="24"/>
                <w:szCs w:val="24"/>
                <w:lang w:eastAsia="zh-CN"/>
              </w:rPr>
              <w:t>》</w:t>
            </w:r>
          </w:p>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劳动保障监察</w:t>
            </w:r>
            <w:r>
              <w:rPr>
                <w:rFonts w:hint="eastAsia" w:ascii="仿宋_GB2312" w:hAnsi="仿宋_GB2312" w:eastAsia="仿宋_GB2312" w:cs="仿宋_GB2312"/>
                <w:sz w:val="24"/>
                <w:szCs w:val="24"/>
              </w:rPr>
              <w:t>条例》</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残疾人就业条例</w:t>
            </w:r>
            <w:r>
              <w:rPr>
                <w:rFonts w:hint="eastAsia" w:ascii="仿宋_GB2312" w:hAnsi="仿宋_GB2312" w:eastAsia="仿宋_GB2312" w:cs="仿宋_GB2312"/>
                <w:sz w:val="24"/>
                <w:szCs w:val="24"/>
                <w:lang w:eastAsia="zh-CN"/>
              </w:rPr>
              <w:t>》</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禁止使用童工规定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br w:type="textWrapping"/>
            </w:r>
            <w:r>
              <w:rPr>
                <w:rFonts w:hint="eastAsia" w:ascii="仿宋_GB2312" w:hAnsi="仿宋_GB2312" w:eastAsia="仿宋_GB2312" w:cs="仿宋_GB2312"/>
                <w:sz w:val="24"/>
                <w:szCs w:val="24"/>
                <w:lang w:val="en-US" w:eastAsia="zh-CN"/>
              </w:rPr>
              <w:t>《中华人民共和国民办教育促进法实施条例》</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《社会保险基金行政监督办法》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《拖欠农民工工资失信联合惩戒对象名单管理暂行办法》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《人才市场管理规定》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《职称评审管理暂行规定》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《工伤保险辅助器具配置管理办法》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《就业服务与就业管理规定》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《企业年金办法》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《事业单位公开招聘违纪违规行为处理规定》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《劳动人事争议仲裁组织规则》</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《劳动人事争议仲裁办案规则》</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《外国人在中国就业管理规定》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《专业技术人员继续教育规定》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《劳务派遣暂行规定》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《劳务派遣行政许可实施办法》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《事业单位工作人员处分暂行规定》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《企业劳动争议协商调解规定》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《非法用工单位伤亡人员一次性赔偿办法》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《工伤认定办法》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《企业职工带薪年休假实施办法》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《机关事业单位工作人员带薪年休假实施办法》</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《事业单位公开招聘人员暂行规定》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《关于实施《劳动保障监察条例》若干规定》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《集体合同规定》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《最低工资规定》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《因工死亡职工供养亲属范围规定》</w:t>
            </w:r>
          </w:p>
          <w:p>
            <w:pPr>
              <w:spacing w:line="300" w:lineRule="exact"/>
              <w:ind w:left="9"/>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《工资集体协商试行办法》</w:t>
            </w:r>
          </w:p>
          <w:p>
            <w:pPr>
              <w:spacing w:line="300" w:lineRule="exact"/>
              <w:jc w:val="left"/>
              <w:rPr>
                <w:rFonts w:ascii="仿宋_GB2312" w:hAnsi="仿宋_GB2312" w:eastAsia="仿宋_GB2312" w:cs="仿宋_GB2312"/>
                <w:sz w:val="24"/>
                <w:szCs w:val="24"/>
              </w:rPr>
            </w:pPr>
          </w:p>
        </w:tc>
        <w:tc>
          <w:tcPr>
            <w:tcW w:w="2445" w:type="dxa"/>
            <w:vAlign w:val="center"/>
          </w:tcPr>
          <w:p>
            <w:pPr>
              <w:spacing w:line="300" w:lineRule="exact"/>
              <w:ind w:left="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广大市民群众</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各类市场主体</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广大单位职工</w:t>
            </w:r>
          </w:p>
          <w:p>
            <w:pPr>
              <w:spacing w:line="300" w:lineRule="exact"/>
              <w:ind w:left="9"/>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广大农民工</w:t>
            </w:r>
          </w:p>
        </w:tc>
        <w:tc>
          <w:tcPr>
            <w:tcW w:w="4522"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利用传统媒体和新媒体普法；</w:t>
            </w:r>
          </w:p>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组织政策法律进企业活动开展普法宣传</w:t>
            </w:r>
          </w:p>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结合</w:t>
            </w:r>
            <w:r>
              <w:rPr>
                <w:rFonts w:hint="eastAsia" w:ascii="仿宋_GB2312" w:hAnsi="仿宋_GB2312" w:eastAsia="仿宋_GB2312" w:cs="仿宋_GB2312"/>
                <w:sz w:val="24"/>
                <w:szCs w:val="24"/>
                <w:lang w:eastAsia="zh-CN"/>
              </w:rPr>
              <w:t>人社</w:t>
            </w:r>
            <w:r>
              <w:rPr>
                <w:rFonts w:hint="eastAsia" w:ascii="仿宋_GB2312" w:hAnsi="仿宋_GB2312" w:eastAsia="仿宋_GB2312" w:cs="仿宋_GB2312"/>
                <w:sz w:val="24"/>
                <w:szCs w:val="24"/>
              </w:rPr>
              <w:t>业务工作开展以案释法。</w:t>
            </w:r>
          </w:p>
        </w:tc>
      </w:tr>
    </w:tbl>
    <w:p>
      <w:pPr>
        <w:spacing w:line="579" w:lineRule="exact"/>
        <w:rPr>
          <w:rFonts w:ascii="仿宋" w:hAnsi="仿宋" w:eastAsia="仿宋"/>
          <w:sz w:val="32"/>
          <w:szCs w:val="32"/>
        </w:rPr>
      </w:pPr>
    </w:p>
    <w:sectPr>
      <w:footerReference r:id="rId3" w:type="default"/>
      <w:pgSz w:w="16838" w:h="11906" w:orient="landscape"/>
      <w:pgMar w:top="567" w:right="567" w:bottom="567" w:left="56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WJmY2Q0ZDU0ZjdjMGUyMjZlOGMzNjgxZWU4NmEifQ=="/>
  </w:docVars>
  <w:rsids>
    <w:rsidRoot w:val="00812BEA"/>
    <w:rsid w:val="00012CC2"/>
    <w:rsid w:val="000556F7"/>
    <w:rsid w:val="0005676D"/>
    <w:rsid w:val="0009137C"/>
    <w:rsid w:val="000C5000"/>
    <w:rsid w:val="000F286A"/>
    <w:rsid w:val="001222C8"/>
    <w:rsid w:val="00132485"/>
    <w:rsid w:val="00176DA9"/>
    <w:rsid w:val="001936ED"/>
    <w:rsid w:val="001A183C"/>
    <w:rsid w:val="001A650C"/>
    <w:rsid w:val="001E0EA1"/>
    <w:rsid w:val="00206A10"/>
    <w:rsid w:val="00232F0D"/>
    <w:rsid w:val="0025350A"/>
    <w:rsid w:val="00297245"/>
    <w:rsid w:val="002A30EF"/>
    <w:rsid w:val="002D72F7"/>
    <w:rsid w:val="0030008C"/>
    <w:rsid w:val="003030AD"/>
    <w:rsid w:val="00304759"/>
    <w:rsid w:val="00324C4F"/>
    <w:rsid w:val="00334C30"/>
    <w:rsid w:val="00334FEB"/>
    <w:rsid w:val="00336E89"/>
    <w:rsid w:val="0036573D"/>
    <w:rsid w:val="003932E6"/>
    <w:rsid w:val="003A14EB"/>
    <w:rsid w:val="003C4019"/>
    <w:rsid w:val="003D0680"/>
    <w:rsid w:val="003D0F91"/>
    <w:rsid w:val="003E6BB6"/>
    <w:rsid w:val="00415918"/>
    <w:rsid w:val="00436AB1"/>
    <w:rsid w:val="0045215A"/>
    <w:rsid w:val="004853AE"/>
    <w:rsid w:val="00485A01"/>
    <w:rsid w:val="00486C29"/>
    <w:rsid w:val="00496093"/>
    <w:rsid w:val="004B1F37"/>
    <w:rsid w:val="004D0A7E"/>
    <w:rsid w:val="004F1D92"/>
    <w:rsid w:val="005127ED"/>
    <w:rsid w:val="005625DA"/>
    <w:rsid w:val="00572132"/>
    <w:rsid w:val="005873C8"/>
    <w:rsid w:val="005D1F83"/>
    <w:rsid w:val="005E5267"/>
    <w:rsid w:val="005E75C5"/>
    <w:rsid w:val="005F3864"/>
    <w:rsid w:val="005F6E75"/>
    <w:rsid w:val="00603C43"/>
    <w:rsid w:val="00607104"/>
    <w:rsid w:val="006308E6"/>
    <w:rsid w:val="00672864"/>
    <w:rsid w:val="00675175"/>
    <w:rsid w:val="0068561B"/>
    <w:rsid w:val="00691442"/>
    <w:rsid w:val="006B0F57"/>
    <w:rsid w:val="006B3FC0"/>
    <w:rsid w:val="006C3074"/>
    <w:rsid w:val="006E573A"/>
    <w:rsid w:val="00732CC9"/>
    <w:rsid w:val="007355A5"/>
    <w:rsid w:val="00770409"/>
    <w:rsid w:val="007923EB"/>
    <w:rsid w:val="007D3CEF"/>
    <w:rsid w:val="007E0683"/>
    <w:rsid w:val="007E17DA"/>
    <w:rsid w:val="00812BEA"/>
    <w:rsid w:val="008255C0"/>
    <w:rsid w:val="00841C17"/>
    <w:rsid w:val="0085114D"/>
    <w:rsid w:val="00854102"/>
    <w:rsid w:val="008618DE"/>
    <w:rsid w:val="00864B76"/>
    <w:rsid w:val="008676B1"/>
    <w:rsid w:val="00880BAB"/>
    <w:rsid w:val="008A304E"/>
    <w:rsid w:val="008B02F8"/>
    <w:rsid w:val="008D6A28"/>
    <w:rsid w:val="008E2F67"/>
    <w:rsid w:val="009002BC"/>
    <w:rsid w:val="0091165F"/>
    <w:rsid w:val="00942A5F"/>
    <w:rsid w:val="00967D07"/>
    <w:rsid w:val="00980208"/>
    <w:rsid w:val="00990A37"/>
    <w:rsid w:val="009979E6"/>
    <w:rsid w:val="009D3376"/>
    <w:rsid w:val="009E0151"/>
    <w:rsid w:val="00A02098"/>
    <w:rsid w:val="00A43170"/>
    <w:rsid w:val="00A473D4"/>
    <w:rsid w:val="00A77B8C"/>
    <w:rsid w:val="00A90572"/>
    <w:rsid w:val="00A976BC"/>
    <w:rsid w:val="00AB4834"/>
    <w:rsid w:val="00AB4A05"/>
    <w:rsid w:val="00AD5A06"/>
    <w:rsid w:val="00AF3B22"/>
    <w:rsid w:val="00B04210"/>
    <w:rsid w:val="00B326E1"/>
    <w:rsid w:val="00B4675F"/>
    <w:rsid w:val="00B539EE"/>
    <w:rsid w:val="00B54FC7"/>
    <w:rsid w:val="00B72CD8"/>
    <w:rsid w:val="00B81FAA"/>
    <w:rsid w:val="00B8497A"/>
    <w:rsid w:val="00B86654"/>
    <w:rsid w:val="00B9266F"/>
    <w:rsid w:val="00B95891"/>
    <w:rsid w:val="00BA0F75"/>
    <w:rsid w:val="00BB50AD"/>
    <w:rsid w:val="00BC0D66"/>
    <w:rsid w:val="00BC2447"/>
    <w:rsid w:val="00BD2399"/>
    <w:rsid w:val="00BD2CA8"/>
    <w:rsid w:val="00BD7116"/>
    <w:rsid w:val="00C0769A"/>
    <w:rsid w:val="00C30344"/>
    <w:rsid w:val="00C34C6C"/>
    <w:rsid w:val="00C41994"/>
    <w:rsid w:val="00C51327"/>
    <w:rsid w:val="00C83F8F"/>
    <w:rsid w:val="00C87377"/>
    <w:rsid w:val="00CD5544"/>
    <w:rsid w:val="00CD5FB9"/>
    <w:rsid w:val="00CE7A9D"/>
    <w:rsid w:val="00D057BE"/>
    <w:rsid w:val="00D21C70"/>
    <w:rsid w:val="00D226F9"/>
    <w:rsid w:val="00D42F56"/>
    <w:rsid w:val="00D47AB7"/>
    <w:rsid w:val="00D51164"/>
    <w:rsid w:val="00D61E6E"/>
    <w:rsid w:val="00DA1511"/>
    <w:rsid w:val="00DA1AF2"/>
    <w:rsid w:val="00DA5DEE"/>
    <w:rsid w:val="00DC1926"/>
    <w:rsid w:val="00DC3091"/>
    <w:rsid w:val="00DD069A"/>
    <w:rsid w:val="00DD470A"/>
    <w:rsid w:val="00DE67AC"/>
    <w:rsid w:val="00DF0439"/>
    <w:rsid w:val="00E3149E"/>
    <w:rsid w:val="00E610F3"/>
    <w:rsid w:val="00E73577"/>
    <w:rsid w:val="00E83584"/>
    <w:rsid w:val="00E97BEC"/>
    <w:rsid w:val="00EB1656"/>
    <w:rsid w:val="00ED2AC9"/>
    <w:rsid w:val="00EE1593"/>
    <w:rsid w:val="00F228F2"/>
    <w:rsid w:val="00F2653A"/>
    <w:rsid w:val="00F46C83"/>
    <w:rsid w:val="00F71F95"/>
    <w:rsid w:val="00F73ECA"/>
    <w:rsid w:val="00FA32BF"/>
    <w:rsid w:val="00FB2755"/>
    <w:rsid w:val="00FC0679"/>
    <w:rsid w:val="00FD20C8"/>
    <w:rsid w:val="00FD494D"/>
    <w:rsid w:val="00FE2400"/>
    <w:rsid w:val="00FE6404"/>
    <w:rsid w:val="00FF4D3F"/>
    <w:rsid w:val="01BC3063"/>
    <w:rsid w:val="0B7C24A8"/>
    <w:rsid w:val="0E9B9D44"/>
    <w:rsid w:val="10A33184"/>
    <w:rsid w:val="17FC7532"/>
    <w:rsid w:val="18E806B4"/>
    <w:rsid w:val="1A0A11CB"/>
    <w:rsid w:val="1A6B6F42"/>
    <w:rsid w:val="1EC6403C"/>
    <w:rsid w:val="229522EB"/>
    <w:rsid w:val="26866DB1"/>
    <w:rsid w:val="287609A1"/>
    <w:rsid w:val="2B5E460E"/>
    <w:rsid w:val="2F1E66AB"/>
    <w:rsid w:val="3529272A"/>
    <w:rsid w:val="382F0F7B"/>
    <w:rsid w:val="41553AA8"/>
    <w:rsid w:val="48066FE5"/>
    <w:rsid w:val="54B746C4"/>
    <w:rsid w:val="57DB5C00"/>
    <w:rsid w:val="5B222704"/>
    <w:rsid w:val="5EF758C8"/>
    <w:rsid w:val="5FEB78E9"/>
    <w:rsid w:val="67662A81"/>
    <w:rsid w:val="691427CE"/>
    <w:rsid w:val="6E970129"/>
    <w:rsid w:val="738F3623"/>
    <w:rsid w:val="74C078E8"/>
    <w:rsid w:val="7A2E078A"/>
    <w:rsid w:val="7B165BB8"/>
    <w:rsid w:val="7DBF599A"/>
    <w:rsid w:val="7EECC279"/>
    <w:rsid w:val="DD6FFB4C"/>
    <w:rsid w:val="FE4FC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000000"/>
      <w:u w:val="none"/>
    </w:rPr>
  </w:style>
  <w:style w:type="character" w:styleId="10">
    <w:name w:val="Emphasis"/>
    <w:basedOn w:val="8"/>
    <w:qFormat/>
    <w:uiPriority w:val="20"/>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sz w:val="18"/>
      <w:szCs w:val="18"/>
    </w:rPr>
  </w:style>
  <w:style w:type="character" w:customStyle="1" w:styleId="16">
    <w:name w:val="first-child"/>
    <w:basedOn w:val="8"/>
    <w:qFormat/>
    <w:uiPriority w:val="0"/>
  </w:style>
  <w:style w:type="character" w:customStyle="1" w:styleId="17">
    <w:name w:val="first-child1"/>
    <w:basedOn w:val="8"/>
    <w:qFormat/>
    <w:uiPriority w:val="0"/>
  </w:style>
  <w:style w:type="character" w:customStyle="1" w:styleId="18">
    <w:name w:val="on"/>
    <w:basedOn w:val="8"/>
    <w:qFormat/>
    <w:uiPriority w:val="0"/>
    <w:rPr>
      <w:color w:val="C40001"/>
    </w:rPr>
  </w:style>
  <w:style w:type="character" w:customStyle="1" w:styleId="19">
    <w:name w:val="bar"/>
    <w:basedOn w:val="8"/>
    <w:qFormat/>
    <w:uiPriority w:val="0"/>
  </w:style>
  <w:style w:type="character" w:customStyle="1" w:styleId="20">
    <w:name w:val="on1"/>
    <w:basedOn w:val="8"/>
    <w:qFormat/>
    <w:uiPriority w:val="0"/>
    <w:rPr>
      <w:color w:val="C4000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375</Words>
  <Characters>2139</Characters>
  <Lines>17</Lines>
  <Paragraphs>5</Paragraphs>
  <TotalTime>0</TotalTime>
  <ScaleCrop>false</ScaleCrop>
  <LinksUpToDate>false</LinksUpToDate>
  <CharactersWithSpaces>2509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2022-07-20T01:04:00Z</dcterms:created>
  <dc:creator>PC</dc:creator>
  <cp:lastModifiedBy>wjt恋你</cp:lastModifiedBy>
  <cp:lastPrinted>2022-08-25T02:59:00Z</cp:lastPrinted>
  <dcterms:modified xsi:type="dcterms:W3CDTF">2022-09-08T07:14:24Z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EF6E32E37B314992823ECFC7E9B24C8B</vt:lpwstr>
  </property>
</Properties>
</file>