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28FF9">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ascii="Arial"/>
          <w:sz w:val="21"/>
        </w:rPr>
      </w:pPr>
      <w:r>
        <w:rPr>
          <w:rFonts w:hint="eastAsia" w:ascii="仿宋" w:hAnsi="仿宋" w:eastAsia="仿宋" w:cs="仿宋"/>
          <w:snapToGrid/>
          <w:kern w:val="2"/>
          <w:sz w:val="32"/>
          <w:szCs w:val="32"/>
          <w:lang w:val="en-US" w:eastAsia="zh-CN"/>
        </w:rPr>
        <w:t>附件2</w:t>
      </w:r>
    </w:p>
    <w:p w14:paraId="30970F5F">
      <w:pPr>
        <w:keepNext w:val="0"/>
        <w:keepLines w:val="0"/>
        <w:pageBreakBefore w:val="0"/>
        <w:widowControl/>
        <w:kinsoku w:val="0"/>
        <w:wordWrap/>
        <w:overflowPunct/>
        <w:topLinePunct w:val="0"/>
        <w:autoSpaceDE w:val="0"/>
        <w:autoSpaceDN w:val="0"/>
        <w:bidi w:val="0"/>
        <w:adjustRightInd w:val="0"/>
        <w:snapToGrid w:val="0"/>
        <w:spacing w:before="143" w:line="570" w:lineRule="exact"/>
        <w:ind w:left="1541"/>
        <w:textAlignment w:val="baseline"/>
        <w:rPr>
          <w:rFonts w:ascii="宋体" w:hAnsi="宋体" w:eastAsia="宋体" w:cs="宋体"/>
          <w:sz w:val="44"/>
          <w:szCs w:val="44"/>
        </w:rPr>
      </w:pPr>
      <w:bookmarkStart w:id="0" w:name="_GoBack"/>
      <w:r>
        <w:rPr>
          <w:rFonts w:ascii="宋体" w:hAnsi="宋体" w:eastAsia="宋体" w:cs="宋体"/>
          <w:b/>
          <w:bCs/>
          <w:spacing w:val="-6"/>
          <w:sz w:val="44"/>
          <w:szCs w:val="44"/>
        </w:rPr>
        <w:t>专项职业能力考核规范编写要求</w:t>
      </w:r>
    </w:p>
    <w:bookmarkEnd w:id="0"/>
    <w:p w14:paraId="632BCD17">
      <w:pPr>
        <w:keepNext w:val="0"/>
        <w:keepLines w:val="0"/>
        <w:pageBreakBefore w:val="0"/>
        <w:widowControl/>
        <w:kinsoku w:val="0"/>
        <w:wordWrap/>
        <w:overflowPunct/>
        <w:topLinePunct w:val="0"/>
        <w:autoSpaceDE w:val="0"/>
        <w:autoSpaceDN w:val="0"/>
        <w:bidi w:val="0"/>
        <w:adjustRightInd w:val="0"/>
        <w:snapToGrid w:val="0"/>
        <w:spacing w:line="570" w:lineRule="exact"/>
        <w:textAlignment w:val="baseline"/>
        <w:rPr>
          <w:rFonts w:ascii="Arial"/>
          <w:sz w:val="21"/>
        </w:rPr>
      </w:pPr>
    </w:p>
    <w:p w14:paraId="446D3A58">
      <w:pPr>
        <w:keepNext w:val="0"/>
        <w:keepLines w:val="0"/>
        <w:pageBreakBefore w:val="0"/>
        <w:widowControl/>
        <w:kinsoku w:val="0"/>
        <w:wordWrap/>
        <w:overflowPunct/>
        <w:topLinePunct w:val="0"/>
        <w:autoSpaceDE w:val="0"/>
        <w:autoSpaceDN w:val="0"/>
        <w:bidi w:val="0"/>
        <w:adjustRightInd w:val="0"/>
        <w:snapToGrid w:val="0"/>
        <w:spacing w:before="104" w:line="570" w:lineRule="exact"/>
        <w:ind w:firstLine="644" w:firstLineChars="200"/>
        <w:textAlignment w:val="baseline"/>
        <w:rPr>
          <w:rFonts w:ascii="黑体" w:hAnsi="黑体" w:eastAsia="黑体" w:cs="黑体"/>
          <w:sz w:val="32"/>
          <w:szCs w:val="32"/>
        </w:rPr>
      </w:pPr>
      <w:r>
        <w:rPr>
          <w:rFonts w:ascii="黑体" w:hAnsi="黑体" w:eastAsia="黑体" w:cs="黑体"/>
          <w:spacing w:val="1"/>
          <w:sz w:val="32"/>
          <w:szCs w:val="32"/>
        </w:rPr>
        <w:t>一、专项职业能力的确立原则</w:t>
      </w:r>
    </w:p>
    <w:p w14:paraId="4A4D1FC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楷体" w:hAnsi="楷体" w:eastAsia="楷体" w:cs="楷体"/>
          <w:snapToGrid/>
          <w:kern w:val="2"/>
          <w:sz w:val="32"/>
          <w:szCs w:val="32"/>
          <w:lang w:val="en-US" w:eastAsia="zh-CN"/>
        </w:rPr>
      </w:pPr>
      <w:r>
        <w:rPr>
          <w:rFonts w:hint="eastAsia" w:ascii="楷体" w:hAnsi="楷体" w:eastAsia="楷体" w:cs="楷体"/>
          <w:snapToGrid/>
          <w:kern w:val="2"/>
          <w:sz w:val="32"/>
          <w:szCs w:val="32"/>
          <w:lang w:val="en-US" w:eastAsia="zh-CN"/>
        </w:rPr>
        <w:t>（一）可就业的最小技能单元原则</w:t>
      </w:r>
    </w:p>
    <w:p w14:paraId="07A59B7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每个专项职业能力是一个可就业的最小技能单元。“可就业” 是指社会上有一部分相对稳定的人员凭借此项能力就业谋生；</w:t>
      </w:r>
    </w:p>
    <w:p w14:paraId="5F912365">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“最小”是指它的适用范围小于“职业”，作为一项就业技能，它不 可再拆分，不划分等级。</w:t>
      </w:r>
    </w:p>
    <w:p w14:paraId="5768908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楷体" w:hAnsi="楷体" w:eastAsia="楷体" w:cs="楷体"/>
          <w:snapToGrid/>
          <w:kern w:val="2"/>
          <w:sz w:val="32"/>
          <w:szCs w:val="32"/>
          <w:lang w:val="en-US" w:eastAsia="zh-CN"/>
        </w:rPr>
      </w:pPr>
      <w:r>
        <w:rPr>
          <w:rFonts w:hint="eastAsia" w:ascii="楷体" w:hAnsi="楷体" w:eastAsia="楷体" w:cs="楷体"/>
          <w:snapToGrid/>
          <w:kern w:val="2"/>
          <w:sz w:val="32"/>
          <w:szCs w:val="32"/>
          <w:lang w:val="en-US" w:eastAsia="zh-CN"/>
        </w:rPr>
        <w:t>（二）技术性原则</w:t>
      </w:r>
    </w:p>
    <w:p w14:paraId="4724C6EB">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技术性是指专项职业能力具有一定的技术含量。掌握这项能 力需要经过师傅的指导或相应的实操培训。简单体力劳动不能作 为专项职业能力。</w:t>
      </w:r>
    </w:p>
    <w:p w14:paraId="7A74181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楷体" w:hAnsi="楷体" w:eastAsia="楷体" w:cs="楷体"/>
          <w:snapToGrid/>
          <w:kern w:val="2"/>
          <w:sz w:val="32"/>
          <w:szCs w:val="32"/>
          <w:lang w:val="en-US" w:eastAsia="zh-CN"/>
        </w:rPr>
      </w:pPr>
      <w:r>
        <w:rPr>
          <w:rFonts w:hint="eastAsia" w:ascii="楷体" w:hAnsi="楷体" w:eastAsia="楷体" w:cs="楷体"/>
          <w:snapToGrid/>
          <w:kern w:val="2"/>
          <w:sz w:val="32"/>
          <w:szCs w:val="32"/>
          <w:lang w:val="en-US" w:eastAsia="zh-CN"/>
        </w:rPr>
        <w:t>（三）与国家职业衔接的原则</w:t>
      </w:r>
    </w:p>
    <w:p w14:paraId="17A1E40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凡能与国家职业标准中的模块直接对应且符合最小技能单元原则的专项职业能力，其考核规范应参照初级工相应模块编写。</w:t>
      </w:r>
    </w:p>
    <w:p w14:paraId="7911487C">
      <w:pPr>
        <w:keepNext w:val="0"/>
        <w:keepLines w:val="0"/>
        <w:pageBreakBefore w:val="0"/>
        <w:widowControl/>
        <w:kinsoku w:val="0"/>
        <w:wordWrap/>
        <w:overflowPunct/>
        <w:topLinePunct w:val="0"/>
        <w:autoSpaceDE w:val="0"/>
        <w:autoSpaceDN w:val="0"/>
        <w:bidi w:val="0"/>
        <w:adjustRightInd w:val="0"/>
        <w:snapToGrid w:val="0"/>
        <w:spacing w:before="104" w:line="570" w:lineRule="exact"/>
        <w:ind w:firstLine="644" w:firstLineChars="200"/>
        <w:textAlignment w:val="baseline"/>
        <w:rPr>
          <w:rFonts w:hint="eastAsia" w:ascii="黑体" w:hAnsi="黑体" w:eastAsia="黑体" w:cs="黑体"/>
          <w:spacing w:val="1"/>
          <w:sz w:val="32"/>
          <w:szCs w:val="32"/>
          <w:lang w:val="en-US" w:eastAsia="zh-CN"/>
        </w:rPr>
      </w:pPr>
      <w:r>
        <w:rPr>
          <w:rFonts w:hint="eastAsia" w:ascii="黑体" w:hAnsi="黑体" w:eastAsia="黑体" w:cs="黑体"/>
          <w:spacing w:val="1"/>
          <w:sz w:val="32"/>
          <w:szCs w:val="32"/>
          <w:lang w:val="en-US" w:eastAsia="zh-CN"/>
        </w:rPr>
        <w:t>二、名称</w:t>
      </w:r>
    </w:p>
    <w:p w14:paraId="0779A60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一般用“具体产品或服务的名称+动词”来进行表述，如“拉面 制作”“社区绿化”等。专项职业能力的名称不能与工种或职业名 称雷同。因此，专项职业能力名称后不能有“工”“员”或“师”等表示职业或工种名称的词。</w:t>
      </w:r>
    </w:p>
    <w:p w14:paraId="55D415C8">
      <w:pPr>
        <w:keepNext w:val="0"/>
        <w:keepLines w:val="0"/>
        <w:pageBreakBefore w:val="0"/>
        <w:widowControl/>
        <w:kinsoku w:val="0"/>
        <w:wordWrap/>
        <w:overflowPunct/>
        <w:topLinePunct w:val="0"/>
        <w:autoSpaceDE w:val="0"/>
        <w:autoSpaceDN w:val="0"/>
        <w:bidi w:val="0"/>
        <w:adjustRightInd w:val="0"/>
        <w:snapToGrid w:val="0"/>
        <w:spacing w:before="104" w:line="570" w:lineRule="exact"/>
        <w:ind w:firstLine="644" w:firstLineChars="200"/>
        <w:textAlignment w:val="baseline"/>
        <w:rPr>
          <w:rFonts w:hint="eastAsia" w:ascii="黑体" w:hAnsi="黑体" w:eastAsia="黑体" w:cs="黑体"/>
          <w:spacing w:val="1"/>
          <w:sz w:val="32"/>
          <w:szCs w:val="32"/>
          <w:lang w:val="en-US" w:eastAsia="zh-CN"/>
        </w:rPr>
      </w:pPr>
      <w:r>
        <w:rPr>
          <w:rFonts w:hint="eastAsia" w:ascii="黑体" w:hAnsi="黑体" w:eastAsia="黑体" w:cs="黑体"/>
          <w:spacing w:val="1"/>
          <w:sz w:val="32"/>
          <w:szCs w:val="32"/>
          <w:lang w:val="en-US" w:eastAsia="zh-CN"/>
        </w:rPr>
        <w:t>三、定义</w:t>
      </w:r>
    </w:p>
    <w:p w14:paraId="3BFBEED5">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一般应按照“运用……工具设备或材料，在……场所、环境 或条件下进行……制作或提供……服务的能力”的格式来定义专 项职业能力。如“服装缝纫    利用服装缝纫设备和服装材料，将各款服装裁片缝合成服装的能力”。</w:t>
      </w:r>
    </w:p>
    <w:p w14:paraId="48D3428F">
      <w:pPr>
        <w:keepNext w:val="0"/>
        <w:keepLines w:val="0"/>
        <w:pageBreakBefore w:val="0"/>
        <w:widowControl/>
        <w:kinsoku w:val="0"/>
        <w:wordWrap/>
        <w:overflowPunct/>
        <w:topLinePunct w:val="0"/>
        <w:autoSpaceDE w:val="0"/>
        <w:autoSpaceDN w:val="0"/>
        <w:bidi w:val="0"/>
        <w:adjustRightInd w:val="0"/>
        <w:snapToGrid w:val="0"/>
        <w:spacing w:before="104" w:line="570" w:lineRule="exact"/>
        <w:ind w:firstLine="644" w:firstLineChars="200"/>
        <w:textAlignment w:val="baseline"/>
        <w:rPr>
          <w:rFonts w:hint="eastAsia" w:ascii="黑体" w:hAnsi="黑体" w:eastAsia="黑体" w:cs="黑体"/>
          <w:spacing w:val="1"/>
          <w:sz w:val="32"/>
          <w:szCs w:val="32"/>
          <w:lang w:val="en-US" w:eastAsia="zh-CN"/>
        </w:rPr>
      </w:pPr>
      <w:r>
        <w:rPr>
          <w:rFonts w:hint="eastAsia" w:ascii="黑体" w:hAnsi="黑体" w:eastAsia="黑体" w:cs="黑体"/>
          <w:spacing w:val="1"/>
          <w:sz w:val="32"/>
          <w:szCs w:val="32"/>
          <w:lang w:val="en-US" w:eastAsia="zh-CN"/>
        </w:rPr>
        <w:t>四 、适用对象</w:t>
      </w:r>
    </w:p>
    <w:p w14:paraId="470877B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运用或准备运用本项能力求职、就业的人员。</w:t>
      </w:r>
    </w:p>
    <w:p w14:paraId="3AD8BFFB">
      <w:pPr>
        <w:keepNext w:val="0"/>
        <w:keepLines w:val="0"/>
        <w:pageBreakBefore w:val="0"/>
        <w:widowControl/>
        <w:kinsoku w:val="0"/>
        <w:wordWrap/>
        <w:overflowPunct/>
        <w:topLinePunct w:val="0"/>
        <w:autoSpaceDE w:val="0"/>
        <w:autoSpaceDN w:val="0"/>
        <w:bidi w:val="0"/>
        <w:adjustRightInd w:val="0"/>
        <w:snapToGrid w:val="0"/>
        <w:spacing w:before="104" w:line="570" w:lineRule="exact"/>
        <w:ind w:firstLine="644" w:firstLineChars="200"/>
        <w:textAlignment w:val="baseline"/>
        <w:rPr>
          <w:rFonts w:hint="eastAsia" w:ascii="黑体" w:hAnsi="黑体" w:eastAsia="黑体" w:cs="黑体"/>
          <w:spacing w:val="1"/>
          <w:sz w:val="32"/>
          <w:szCs w:val="32"/>
          <w:lang w:val="en-US" w:eastAsia="zh-CN"/>
        </w:rPr>
      </w:pPr>
      <w:r>
        <w:rPr>
          <w:rFonts w:hint="eastAsia" w:ascii="黑体" w:hAnsi="黑体" w:eastAsia="黑体" w:cs="黑体"/>
          <w:spacing w:val="1"/>
          <w:sz w:val="32"/>
          <w:szCs w:val="32"/>
          <w:lang w:val="en-US" w:eastAsia="zh-CN"/>
        </w:rPr>
        <w:t>五、考核内容</w:t>
      </w:r>
    </w:p>
    <w:tbl>
      <w:tblPr>
        <w:tblStyle w:val="7"/>
        <w:tblW w:w="8790" w:type="dxa"/>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2"/>
        <w:gridCol w:w="2217"/>
        <w:gridCol w:w="2088"/>
        <w:gridCol w:w="2093"/>
      </w:tblGrid>
      <w:tr w14:paraId="43D3E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8790" w:type="dxa"/>
            <w:gridSpan w:val="4"/>
            <w:vAlign w:val="top"/>
          </w:tcPr>
          <w:p w14:paraId="46A9690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项目名称：              职业领域：</w:t>
            </w:r>
          </w:p>
        </w:tc>
      </w:tr>
      <w:tr w14:paraId="08329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392" w:type="dxa"/>
            <w:vAlign w:val="top"/>
          </w:tcPr>
          <w:p w14:paraId="14D4696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工作任务</w:t>
            </w:r>
          </w:p>
        </w:tc>
        <w:tc>
          <w:tcPr>
            <w:tcW w:w="2217" w:type="dxa"/>
            <w:vAlign w:val="top"/>
          </w:tcPr>
          <w:p w14:paraId="170530A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操作规范</w:t>
            </w:r>
          </w:p>
        </w:tc>
        <w:tc>
          <w:tcPr>
            <w:tcW w:w="2088" w:type="dxa"/>
            <w:vAlign w:val="top"/>
          </w:tcPr>
          <w:p w14:paraId="73BE659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相关知识</w:t>
            </w:r>
          </w:p>
        </w:tc>
        <w:tc>
          <w:tcPr>
            <w:tcW w:w="2093" w:type="dxa"/>
            <w:vAlign w:val="top"/>
          </w:tcPr>
          <w:p w14:paraId="78F5E076">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考核比重</w:t>
            </w:r>
          </w:p>
        </w:tc>
      </w:tr>
      <w:tr w14:paraId="22982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392" w:type="dxa"/>
            <w:vAlign w:val="top"/>
          </w:tcPr>
          <w:p w14:paraId="5C26AA02">
            <w:pPr>
              <w:spacing w:line="333" w:lineRule="auto"/>
              <w:rPr>
                <w:rFonts w:ascii="Arial"/>
                <w:sz w:val="21"/>
              </w:rPr>
            </w:pPr>
          </w:p>
          <w:p w14:paraId="6A73A1DE">
            <w:pPr>
              <w:pStyle w:val="8"/>
              <w:spacing w:before="94" w:line="222" w:lineRule="auto"/>
              <w:ind w:left="894" w:leftChars="0"/>
              <w:rPr>
                <w:rFonts w:hint="eastAsia" w:ascii="仿宋" w:hAnsi="仿宋" w:eastAsia="仿宋" w:cs="仿宋"/>
                <w:snapToGrid/>
                <w:kern w:val="2"/>
                <w:sz w:val="32"/>
                <w:szCs w:val="32"/>
                <w:lang w:val="en-US" w:eastAsia="zh-CN"/>
              </w:rPr>
            </w:pPr>
            <w:r>
              <w:rPr>
                <w:spacing w:val="-27"/>
                <w:sz w:val="29"/>
                <w:szCs w:val="29"/>
              </w:rPr>
              <w:t>(</w:t>
            </w:r>
            <w:r>
              <w:rPr>
                <w:spacing w:val="-65"/>
                <w:sz w:val="29"/>
                <w:szCs w:val="29"/>
              </w:rPr>
              <w:t xml:space="preserve"> </w:t>
            </w:r>
            <w:r>
              <w:rPr>
                <w:spacing w:val="-27"/>
                <w:sz w:val="29"/>
                <w:szCs w:val="29"/>
              </w:rPr>
              <w:t>一</w:t>
            </w:r>
            <w:r>
              <w:rPr>
                <w:spacing w:val="-69"/>
                <w:sz w:val="29"/>
                <w:szCs w:val="29"/>
              </w:rPr>
              <w:t xml:space="preserve"> </w:t>
            </w:r>
            <w:r>
              <w:rPr>
                <w:spacing w:val="-27"/>
                <w:sz w:val="29"/>
                <w:szCs w:val="29"/>
              </w:rPr>
              <w:t>)</w:t>
            </w:r>
          </w:p>
        </w:tc>
        <w:tc>
          <w:tcPr>
            <w:tcW w:w="2217" w:type="dxa"/>
            <w:vAlign w:val="top"/>
          </w:tcPr>
          <w:p w14:paraId="23C6798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1……</w:t>
            </w:r>
          </w:p>
          <w:p w14:paraId="60C3216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2……</w:t>
            </w:r>
          </w:p>
        </w:tc>
        <w:tc>
          <w:tcPr>
            <w:tcW w:w="2088" w:type="dxa"/>
            <w:vAlign w:val="top"/>
          </w:tcPr>
          <w:p w14:paraId="0EE9EE4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1……</w:t>
            </w:r>
          </w:p>
          <w:p w14:paraId="34B88A6C">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2……</w:t>
            </w:r>
          </w:p>
        </w:tc>
        <w:tc>
          <w:tcPr>
            <w:tcW w:w="2093" w:type="dxa"/>
            <w:vAlign w:val="top"/>
          </w:tcPr>
          <w:p w14:paraId="60F8ECC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p>
          <w:p w14:paraId="7E8AF30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w:t>
            </w:r>
          </w:p>
        </w:tc>
      </w:tr>
      <w:tr w14:paraId="7A6C5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trPr>
        <w:tc>
          <w:tcPr>
            <w:tcW w:w="2392" w:type="dxa"/>
            <w:vAlign w:val="top"/>
          </w:tcPr>
          <w:p w14:paraId="5E3BBE3A">
            <w:pPr>
              <w:spacing w:line="326" w:lineRule="auto"/>
              <w:rPr>
                <w:rFonts w:ascii="Arial"/>
                <w:sz w:val="21"/>
              </w:rPr>
            </w:pPr>
          </w:p>
          <w:p w14:paraId="1F2F38C3">
            <w:pPr>
              <w:pStyle w:val="8"/>
              <w:spacing w:before="94" w:line="222" w:lineRule="auto"/>
              <w:ind w:left="894" w:leftChars="0"/>
              <w:rPr>
                <w:rFonts w:hint="eastAsia" w:ascii="仿宋" w:hAnsi="仿宋" w:eastAsia="仿宋" w:cs="仿宋"/>
                <w:snapToGrid/>
                <w:kern w:val="2"/>
                <w:sz w:val="32"/>
                <w:szCs w:val="32"/>
                <w:lang w:val="en-US" w:eastAsia="zh-CN"/>
              </w:rPr>
            </w:pPr>
            <w:r>
              <w:rPr>
                <w:rFonts w:hint="eastAsia"/>
                <w:spacing w:val="21"/>
                <w:sz w:val="29"/>
                <w:szCs w:val="29"/>
                <w:lang w:eastAsia="zh-CN"/>
              </w:rPr>
              <w:t>（</w:t>
            </w:r>
            <w:r>
              <w:rPr>
                <w:spacing w:val="21"/>
                <w:sz w:val="29"/>
                <w:szCs w:val="29"/>
              </w:rPr>
              <w:t>二</w:t>
            </w:r>
            <w:r>
              <w:rPr>
                <w:rFonts w:hint="eastAsia"/>
                <w:spacing w:val="21"/>
                <w:sz w:val="29"/>
                <w:szCs w:val="29"/>
                <w:lang w:eastAsia="zh-CN"/>
              </w:rPr>
              <w:t>）</w:t>
            </w:r>
          </w:p>
        </w:tc>
        <w:tc>
          <w:tcPr>
            <w:tcW w:w="2217" w:type="dxa"/>
            <w:vAlign w:val="top"/>
          </w:tcPr>
          <w:p w14:paraId="61E7B16C">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1……</w:t>
            </w:r>
          </w:p>
          <w:p w14:paraId="4040BA6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2……</w:t>
            </w:r>
          </w:p>
        </w:tc>
        <w:tc>
          <w:tcPr>
            <w:tcW w:w="2088" w:type="dxa"/>
            <w:vAlign w:val="top"/>
          </w:tcPr>
          <w:p w14:paraId="528A5F9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1……</w:t>
            </w:r>
          </w:p>
          <w:p w14:paraId="3D4D069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2……</w:t>
            </w:r>
          </w:p>
        </w:tc>
        <w:tc>
          <w:tcPr>
            <w:tcW w:w="2093" w:type="dxa"/>
            <w:vAlign w:val="top"/>
          </w:tcPr>
          <w:p w14:paraId="7A624A0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p>
          <w:p w14:paraId="6B70E4F5">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w:t>
            </w:r>
          </w:p>
        </w:tc>
      </w:tr>
      <w:tr w14:paraId="5561C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392" w:type="dxa"/>
            <w:vAlign w:val="top"/>
          </w:tcPr>
          <w:p w14:paraId="4C7F7999">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w:t>
            </w:r>
          </w:p>
        </w:tc>
        <w:tc>
          <w:tcPr>
            <w:tcW w:w="2217" w:type="dxa"/>
            <w:vAlign w:val="top"/>
          </w:tcPr>
          <w:p w14:paraId="476130D2">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p>
        </w:tc>
        <w:tc>
          <w:tcPr>
            <w:tcW w:w="2088" w:type="dxa"/>
            <w:vAlign w:val="top"/>
          </w:tcPr>
          <w:p w14:paraId="2B30C2E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p>
        </w:tc>
        <w:tc>
          <w:tcPr>
            <w:tcW w:w="2093" w:type="dxa"/>
            <w:vAlign w:val="top"/>
          </w:tcPr>
          <w:p w14:paraId="56FFA37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p>
        </w:tc>
      </w:tr>
    </w:tbl>
    <w:p w14:paraId="7D5BDE16">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职业领域是指专项职业能力所对应的职业（《中华人民共和国职业分类大典》中的细类）。</w:t>
      </w:r>
    </w:p>
    <w:p w14:paraId="5FD947A9">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工作任务是指完成该专项职业能力范围内的全部工作必须经过的主要步骤或程序。需按先后顺序列出。一般情况下，每个专项职业能力下应列出3项以上的工作任务。</w:t>
      </w:r>
    </w:p>
    <w:p w14:paraId="791DC53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操作规范是指每一个操作步骤应该达到的要求、标准或阶段性的具体工作成果。</w:t>
      </w:r>
    </w:p>
    <w:p w14:paraId="6C704182">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相关知识是指完成相应的工作步骤必须掌握的知识，包括工具设备的知识，安全、卫生、环境保护等方面的知识及有关注意事项。按照“干什么，学什么”的原则，列出跟每一个具体操作直接相关的知识点。</w:t>
      </w:r>
    </w:p>
    <w:p w14:paraId="35EECC4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考核比重：根据每项具体工作或阶段性成果的重要性及技术复杂程度确定其在考核中应占的比重，用百分比（%）表示。</w:t>
      </w:r>
    </w:p>
    <w:p w14:paraId="1858EDFB">
      <w:pPr>
        <w:keepNext w:val="0"/>
        <w:keepLines w:val="0"/>
        <w:pageBreakBefore w:val="0"/>
        <w:widowControl/>
        <w:kinsoku w:val="0"/>
        <w:wordWrap/>
        <w:overflowPunct/>
        <w:topLinePunct w:val="0"/>
        <w:autoSpaceDE w:val="0"/>
        <w:autoSpaceDN w:val="0"/>
        <w:bidi w:val="0"/>
        <w:adjustRightInd w:val="0"/>
        <w:snapToGrid w:val="0"/>
        <w:spacing w:before="104" w:line="570" w:lineRule="exact"/>
        <w:ind w:firstLine="644" w:firstLineChars="200"/>
        <w:textAlignment w:val="baseline"/>
        <w:rPr>
          <w:rFonts w:hint="eastAsia" w:ascii="黑体" w:hAnsi="黑体" w:eastAsia="黑体" w:cs="黑体"/>
          <w:spacing w:val="1"/>
          <w:sz w:val="32"/>
          <w:szCs w:val="32"/>
          <w:lang w:val="en-US" w:eastAsia="zh-CN"/>
        </w:rPr>
      </w:pPr>
      <w:r>
        <w:rPr>
          <w:rFonts w:hint="eastAsia" w:ascii="黑体" w:hAnsi="黑体" w:eastAsia="黑体" w:cs="黑体"/>
          <w:spacing w:val="1"/>
          <w:sz w:val="32"/>
          <w:szCs w:val="32"/>
          <w:lang w:val="en-US" w:eastAsia="zh-CN"/>
        </w:rPr>
        <w:t>六、考核要求</w:t>
      </w:r>
    </w:p>
    <w:p w14:paraId="6003794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楷体" w:hAnsi="楷体" w:eastAsia="楷体" w:cs="楷体"/>
          <w:snapToGrid/>
          <w:kern w:val="2"/>
          <w:sz w:val="32"/>
          <w:szCs w:val="32"/>
          <w:lang w:val="en-US" w:eastAsia="zh-CN"/>
        </w:rPr>
      </w:pPr>
      <w:r>
        <w:rPr>
          <w:rFonts w:hint="eastAsia" w:ascii="楷体" w:hAnsi="楷体" w:eastAsia="楷体" w:cs="楷体"/>
          <w:snapToGrid/>
          <w:kern w:val="2"/>
          <w:sz w:val="32"/>
          <w:szCs w:val="32"/>
          <w:lang w:val="en-US" w:eastAsia="zh-CN"/>
        </w:rPr>
        <w:t>（一）申报条件</w:t>
      </w:r>
    </w:p>
    <w:p w14:paraId="2C6E880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达到法定劳动年龄，具有相应技能的劳动者均可申报。</w:t>
      </w:r>
    </w:p>
    <w:p w14:paraId="616B8E9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楷体" w:hAnsi="楷体" w:eastAsia="楷体" w:cs="楷体"/>
          <w:snapToGrid/>
          <w:kern w:val="2"/>
          <w:sz w:val="32"/>
          <w:szCs w:val="32"/>
          <w:lang w:val="en-US" w:eastAsia="zh-CN"/>
        </w:rPr>
      </w:pPr>
      <w:r>
        <w:rPr>
          <w:rFonts w:hint="eastAsia" w:ascii="楷体" w:hAnsi="楷体" w:eastAsia="楷体" w:cs="楷体"/>
          <w:snapToGrid/>
          <w:kern w:val="2"/>
          <w:sz w:val="32"/>
          <w:szCs w:val="32"/>
          <w:lang w:val="en-US" w:eastAsia="zh-CN"/>
        </w:rPr>
        <w:t>（二）考评人员构成</w:t>
      </w:r>
    </w:p>
    <w:p w14:paraId="5994F90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根据各个专项职业能力的具体情况确定。</w:t>
      </w:r>
    </w:p>
    <w:p w14:paraId="42CD23C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楷体" w:hAnsi="楷体" w:eastAsia="楷体" w:cs="楷体"/>
          <w:snapToGrid/>
          <w:kern w:val="2"/>
          <w:sz w:val="32"/>
          <w:szCs w:val="32"/>
          <w:lang w:val="en-US" w:eastAsia="zh-CN"/>
        </w:rPr>
      </w:pPr>
      <w:r>
        <w:rPr>
          <w:rFonts w:hint="eastAsia" w:ascii="楷体" w:hAnsi="楷体" w:eastAsia="楷体" w:cs="楷体"/>
          <w:snapToGrid/>
          <w:kern w:val="2"/>
          <w:sz w:val="32"/>
          <w:szCs w:val="32"/>
          <w:lang w:val="en-US" w:eastAsia="zh-CN"/>
        </w:rPr>
        <w:t>（三）考核方式与考核时间</w:t>
      </w:r>
    </w:p>
    <w:p w14:paraId="09F5B8C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napToGrid/>
          <w:kern w:val="2"/>
          <w:sz w:val="32"/>
          <w:szCs w:val="32"/>
          <w:lang w:val="en-US" w:eastAsia="zh-CN"/>
        </w:rPr>
      </w:pPr>
      <w:r>
        <w:rPr>
          <w:rFonts w:hint="eastAsia" w:ascii="仿宋" w:hAnsi="仿宋" w:eastAsia="仿宋" w:cs="仿宋"/>
          <w:snapToGrid/>
          <w:kern w:val="2"/>
          <w:sz w:val="32"/>
          <w:szCs w:val="32"/>
          <w:lang w:val="en-US" w:eastAsia="zh-CN"/>
        </w:rPr>
        <w:t>根据各个专项职业能力的具体情况确定，一般不单独考核理论知识。但对技术复杂性较强、安全要求较高、影响消费者安全与健康的专项职业能力，考核内容中必须包含相关法律法规、安全操作和卫生知识。</w:t>
      </w:r>
    </w:p>
    <w:p w14:paraId="4A91C384">
      <w:pPr>
        <w:pStyle w:val="3"/>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35"/>
          <w:szCs w:val="35"/>
        </w:rPr>
      </w:pPr>
    </w:p>
    <w:sectPr>
      <w:headerReference r:id="rId5" w:type="default"/>
      <w:footerReference r:id="rId6" w:type="default"/>
      <w:pgSz w:w="11900" w:h="16820"/>
      <w:pgMar w:top="2761" w:right="1649" w:bottom="1322" w:left="1420" w:header="2238" w:footer="106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7D0609F-17EE-4C00-8F4D-84DEFA426CA4}"/>
  </w:font>
  <w:font w:name="黑体">
    <w:panose1 w:val="02010609060101010101"/>
    <w:charset w:val="86"/>
    <w:family w:val="auto"/>
    <w:pitch w:val="default"/>
    <w:sig w:usb0="800002BF" w:usb1="38CF7CFA" w:usb2="00000016" w:usb3="00000000" w:csb0="00040001" w:csb1="00000000"/>
    <w:embedRegular r:id="rId2" w:fontKey="{83753498-AAE3-4F38-8F28-4EF7EAC40B4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3" w:fontKey="{CC063923-1FE9-4D66-8DEE-75008B58BE58}"/>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0A889605-EAC3-4128-BA9A-8600B88E6245}"/>
  </w:font>
  <w:font w:name="WPSEMBED3">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60B12">
    <w:pPr>
      <w:spacing w:before="1" w:line="180" w:lineRule="auto"/>
      <w:ind w:left="4269"/>
      <w:rPr>
        <w:rFonts w:ascii="Times New Roman" w:hAnsi="Times New Roman" w:eastAsia="Times New Roman" w:cs="Times New Roman"/>
        <w:sz w:val="29"/>
        <w:szCs w:val="2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CE449">
    <w:pPr>
      <w:spacing w:before="89" w:line="224" w:lineRule="auto"/>
      <w:rPr>
        <w:rFonts w:ascii="黑体" w:hAnsi="黑体" w:eastAsia="黑体" w:cs="黑体"/>
        <w:sz w:val="34"/>
        <w:szCs w:val="3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C453DE"/>
    <w:rsid w:val="03FC4524"/>
    <w:rsid w:val="06726F19"/>
    <w:rsid w:val="12071F57"/>
    <w:rsid w:val="22710577"/>
    <w:rsid w:val="2337468C"/>
    <w:rsid w:val="250955F1"/>
    <w:rsid w:val="34A66CC5"/>
    <w:rsid w:val="3B7D557D"/>
    <w:rsid w:val="3CBB50F2"/>
    <w:rsid w:val="405C7E57"/>
    <w:rsid w:val="4BE551A5"/>
    <w:rsid w:val="50270020"/>
    <w:rsid w:val="57792DAF"/>
    <w:rsid w:val="57E5652D"/>
    <w:rsid w:val="5FEF5FB2"/>
    <w:rsid w:val="654A79CF"/>
    <w:rsid w:val="654F0FE3"/>
    <w:rsid w:val="6A835E5D"/>
    <w:rsid w:val="6AEC0549"/>
    <w:rsid w:val="769D4A3B"/>
    <w:rsid w:val="7CC664DE"/>
    <w:rsid w:val="7D935F5F"/>
    <w:rsid w:val="7FF628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semiHidden/>
    <w:qFormat/>
    <w:uiPriority w:val="0"/>
    <w:rPr>
      <w:rFonts w:ascii="仿宋" w:hAnsi="仿宋" w:eastAsia="仿宋" w:cs="仿宋"/>
      <w:sz w:val="33"/>
      <w:szCs w:val="33"/>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42ff831e-9af3-4e6a-a173-5e00069599a6</errorID>
      <errorWord>:</errorWord>
      <group>L1_Format</group>
      <groupName>格式问题</groupName>
      <ability>L2_HalfPunc_CN</ability>
      <abilityName>全半角问题</abilityName>
      <candidateList>
        <item>：</item>
      </candidateList>
      <explain>文本全半角错误。</explain>
      <paraID> 6045EED</paraID>
      <start>11</start>
      <end>12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902102b-4009-4730-a93b-024b01563e60}">
  <ds:schemaRefs/>
</ds:datastoreItem>
</file>

<file path=docProps/app.xml><?xml version="1.0" encoding="utf-8"?>
<Properties xmlns="http://schemas.openxmlformats.org/officeDocument/2006/extended-properties" xmlns:vt="http://schemas.openxmlformats.org/officeDocument/2006/docPropsVTypes">
  <Pages>3</Pages>
  <Words>2299</Words>
  <Characters>2329</Characters>
  <TotalTime>249</TotalTime>
  <ScaleCrop>false</ScaleCrop>
  <LinksUpToDate>false</LinksUpToDate>
  <CharactersWithSpaces>2395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2026-07-24T09:33:00Z</dcterms:created>
  <dc:creator>Administrator</dc:creator>
  <cp:lastModifiedBy>WPS_1694571507</cp:lastModifiedBy>
  <cp:lastPrinted>2026-07-28T02:14:00Z</cp:lastPrinted>
  <dcterms:modified xsi:type="dcterms:W3CDTF">2026-07-28T06:04:53Z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2026-07-24T09:33:48Z</vt:filetime>
  </property>
  <property fmtid="{D5CDD505-2E9C-101B-9397-08002B2CF9AE}" pid="4" name="UsrData">
    <vt:lpwstr>6a62c0f6aa9069001fa6af96wl</vt:lpwstr>
  </property>
  <property fmtid="{D5CDD505-2E9C-101B-9397-08002B2CF9AE}" pid="5" name="KSOTemplateDocerSaveRecord">
    <vt:lpwstr>eyJoZGlkIjoiZmJhZWI0N2NmYWNiNzg2NzljYmQ0OWZiZDQ5Mjk1ZDIiLCJ1c2VySWQiOiIxNTMzMjQ5MTIzIn0=</vt:lpwstr>
  </property>
  <property fmtid="{D5CDD505-2E9C-101B-9397-08002B2CF9AE}" pid="6" name="KSOProductBuildVer">
    <vt:lpwstr>2052-12.1.0.26895</vt:lpwstr>
  </property>
  <property fmtid="{D5CDD505-2E9C-101B-9397-08002B2CF9AE}" pid="7" name="ICV">
    <vt:lpwstr>15982235C75548E7B68BD981A88A481F_13</vt:lpwstr>
  </property>
</Properties>
</file>